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700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C582876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567262">
        <w:rPr>
          <w:u w:val="single"/>
        </w:rPr>
        <w:t>Windenergie Fölsen Gehrden GbR</w:t>
      </w:r>
      <w:r w:rsidR="00C612FF">
        <w:rPr>
          <w:u w:val="single"/>
        </w:rPr>
        <w:t xml:space="preserve"> III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C612FF">
        <w:t>4439</w:t>
      </w:r>
      <w:r w:rsidR="00672C52">
        <w:t xml:space="preserve"> </w:t>
      </w:r>
      <w:r w:rsidR="00C612FF">
        <w:t>Willebadessen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7A853B4E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612FF">
        <w:rPr>
          <w:b/>
        </w:rPr>
        <w:t>1</w:t>
      </w:r>
      <w:r w:rsidR="00BC5CA7">
        <w:rPr>
          <w:b/>
        </w:rPr>
        <w:t>9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C612FF">
        <w:t>Fölsen</w:t>
      </w:r>
      <w:r w:rsidR="00B47A06">
        <w:t xml:space="preserve">, Flur </w:t>
      </w:r>
      <w:r w:rsidR="00C612FF">
        <w:t>3</w:t>
      </w:r>
      <w:r w:rsidR="00B47A06">
        <w:t>, Flurstück</w:t>
      </w:r>
      <w:r w:rsidR="00BC5CA7">
        <w:t xml:space="preserve"> 32</w:t>
      </w:r>
    </w:p>
    <w:p w14:paraId="2E4716F1" w14:textId="2DAF3919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612FF">
        <w:t>4</w:t>
      </w:r>
      <w:r w:rsidR="00BC5CA7">
        <w:t>8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4EFE2335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567262">
        <w:rPr>
          <w:u w:val="single"/>
        </w:rPr>
        <w:t>Windenergie Fölsen Gehrden GbR</w:t>
      </w:r>
      <w:r w:rsidR="00C612FF">
        <w:rPr>
          <w:u w:val="single"/>
        </w:rPr>
        <w:t xml:space="preserve"> III</w:t>
      </w:r>
      <w:r w:rsidR="00567262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35E3D55E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A513E9">
        <w:t xml:space="preserve"> und</w:t>
      </w:r>
      <w:r w:rsidR="00DD534A" w:rsidRPr="00A21636">
        <w:t xml:space="preserve"> </w:t>
      </w:r>
      <w:r w:rsidR="00A21636">
        <w:t xml:space="preserve">bei der </w:t>
      </w:r>
      <w:r w:rsidR="00BC5CA7" w:rsidRPr="00D16141">
        <w:rPr>
          <w:u w:val="single"/>
        </w:rPr>
        <w:t>Stadt Willebadessen</w:t>
      </w:r>
      <w:r w:rsidR="00BC5CA7">
        <w:t>, Abdinghofweg 1, 34439 Willebadessen-Peckelsheim, Bauverwaltungsamt</w:t>
      </w:r>
      <w:r w:rsidR="00BC5CA7">
        <w:t>, aus</w:t>
      </w:r>
      <w:r w:rsidR="00B47A06">
        <w:t xml:space="preserve">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</w:t>
      </w:r>
      <w:bookmarkStart w:id="0" w:name="_GoBack"/>
      <w:bookmarkEnd w:id="0"/>
      <w:r w:rsidR="000B6B01" w:rsidRPr="00A21636">
        <w:t>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7F2221A4" w14:textId="77777777" w:rsidR="00C612FF" w:rsidRPr="00DC3A91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 xml:space="preserve">Dienststunden der Stadtverwaltung </w:t>
      </w:r>
      <w:r>
        <w:rPr>
          <w:u w:val="single"/>
        </w:rPr>
        <w:t>Willebadessen</w:t>
      </w:r>
      <w:r w:rsidRPr="00DC3A91">
        <w:rPr>
          <w:u w:val="single"/>
        </w:rPr>
        <w:t>:</w:t>
      </w:r>
    </w:p>
    <w:p w14:paraId="5B719679" w14:textId="77777777" w:rsidR="00C612FF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 - Mittwoch, Freitag: </w:t>
      </w:r>
      <w:r>
        <w:tab/>
        <w:t>08:00 Uhr bis 12:30 Uhr</w:t>
      </w:r>
      <w:r>
        <w:tab/>
      </w:r>
      <w:r>
        <w:tab/>
      </w:r>
    </w:p>
    <w:p w14:paraId="2FA69093" w14:textId="77777777" w:rsidR="00C612FF" w:rsidRDefault="00C612FF" w:rsidP="00C612FF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16:00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31583A3A" w14:textId="77777777" w:rsidR="00C612FF" w:rsidRDefault="00DD534A" w:rsidP="00C612FF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C612FF">
        <w:rPr>
          <w:rFonts w:cs="Arial"/>
          <w:szCs w:val="20"/>
        </w:rPr>
        <w:t>Frau Lara Kleinert,</w:t>
      </w:r>
      <w:r w:rsidR="00C612FF">
        <w:t xml:space="preserve"> </w:t>
      </w:r>
      <w:hyperlink r:id="rId11" w:history="1">
        <w:r w:rsidR="00C612FF" w:rsidRPr="00533ECC">
          <w:rPr>
            <w:rStyle w:val="Hyperlink"/>
          </w:rPr>
          <w:t>l.kleinert@willebadessen.de</w:t>
        </w:r>
      </w:hyperlink>
      <w:r w:rsidR="00C612FF">
        <w:rPr>
          <w:rFonts w:cs="Arial"/>
          <w:szCs w:val="20"/>
        </w:rPr>
        <w:t>; 05644/8862 (Stadtverwaltung Willebadessen).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27176370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612FF">
        <w:rPr>
          <w:sz w:val="22"/>
          <w:szCs w:val="22"/>
        </w:rPr>
        <w:t>4</w:t>
      </w:r>
      <w:r w:rsidR="00BC5CA7">
        <w:rPr>
          <w:sz w:val="22"/>
          <w:szCs w:val="22"/>
        </w:rPr>
        <w:t>8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365C1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67262"/>
    <w:rsid w:val="005750AC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148F5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13E9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C5CA7"/>
    <w:rsid w:val="00BD00FF"/>
    <w:rsid w:val="00BD2D5C"/>
    <w:rsid w:val="00BF3988"/>
    <w:rsid w:val="00C374F0"/>
    <w:rsid w:val="00C41C6D"/>
    <w:rsid w:val="00C46363"/>
    <w:rsid w:val="00C46D8E"/>
    <w:rsid w:val="00C612FF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leinert@willebadess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01EB3-6B7D-4644-9470-CCFFFB54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4094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15</cp:revision>
  <cp:lastPrinted>2022-12-21T07:03:00Z</cp:lastPrinted>
  <dcterms:created xsi:type="dcterms:W3CDTF">2024-10-01T13:42:00Z</dcterms:created>
  <dcterms:modified xsi:type="dcterms:W3CDTF">2024-10-09T13:41:00Z</dcterms:modified>
</cp:coreProperties>
</file>